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843875">
        <w:rPr>
          <w:b/>
          <w:bCs/>
          <w:sz w:val="24"/>
          <w:szCs w:val="24"/>
        </w:rPr>
        <w:t xml:space="preserve">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Pr>
          <w:color w:val="auto"/>
          <w:sz w:val="26"/>
          <w:szCs w:val="26"/>
        </w:rPr>
        <w:t xml:space="preserve">    </w:t>
      </w:r>
      <w:r w:rsidR="0019104D">
        <w:rPr>
          <w:color w:val="auto"/>
          <w:sz w:val="26"/>
          <w:szCs w:val="26"/>
        </w:rPr>
        <w:t xml:space="preserve">   </w:t>
      </w:r>
      <w:r w:rsidR="00985A0B">
        <w:rPr>
          <w:color w:val="auto"/>
          <w:sz w:val="24"/>
          <w:szCs w:val="24"/>
        </w:rPr>
        <w:t>August 28</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3E1987" w:rsidRDefault="003E1987" w:rsidP="00985A0B">
      <w:pPr>
        <w:tabs>
          <w:tab w:val="left" w:pos="540"/>
          <w:tab w:val="left" w:pos="2430"/>
          <w:tab w:val="left" w:pos="2880"/>
          <w:tab w:val="left" w:pos="4320"/>
          <w:tab w:val="left" w:pos="5760"/>
        </w:tabs>
        <w:ind w:right="-360"/>
        <w:jc w:val="both"/>
        <w:rPr>
          <w:rFonts w:asciiTheme="minorHAnsi" w:hAnsiTheme="minorHAnsi"/>
        </w:rPr>
      </w:pPr>
    </w:p>
    <w:p w:rsidR="0071701F" w:rsidRDefault="00985A0B"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1</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985A0B"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1</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380DDF" w:rsidRDefault="00985A0B" w:rsidP="00CC044C">
      <w:pPr>
        <w:pStyle w:val="Info"/>
        <w:tabs>
          <w:tab w:val="clear" w:pos="2640"/>
          <w:tab w:val="left" w:pos="2790"/>
        </w:tabs>
        <w:ind w:left="2160" w:hanging="1872"/>
        <w:jc w:val="both"/>
        <w:rPr>
          <w:b/>
        </w:rPr>
      </w:pPr>
      <w:r>
        <w:rPr>
          <w:b/>
        </w:rPr>
        <w:t xml:space="preserve">      </w:t>
      </w:r>
      <w:r w:rsidR="005521E5">
        <w:rPr>
          <w:b/>
        </w:rPr>
        <w:t>1.</w:t>
      </w:r>
      <w:r>
        <w:rPr>
          <w:b/>
        </w:rPr>
        <w:t xml:space="preserve">  </w:t>
      </w:r>
      <w:r w:rsidRPr="00985A0B">
        <w:rPr>
          <w:b/>
        </w:rPr>
        <w:t xml:space="preserve">UVA050318: </w:t>
      </w:r>
      <w:r>
        <w:rPr>
          <w:b/>
        </w:rPr>
        <w:tab/>
      </w:r>
      <w:r w:rsidRPr="00985A0B">
        <w:rPr>
          <w:b/>
        </w:rPr>
        <w:t xml:space="preserve">Consideration and action on a request for preliminary approval of Aspen Ridge at Powder Mountain Subdivision, consisting of 11 lots, </w:t>
      </w:r>
      <w:r w:rsidR="00D44E6F">
        <w:rPr>
          <w:b/>
        </w:rPr>
        <w:t>in the Forest Residential (FR-3) Zone, located</w:t>
      </w:r>
      <w:r w:rsidRPr="00985A0B">
        <w:rPr>
          <w:b/>
        </w:rPr>
        <w:t xml:space="preserve"> at approximately 6152 N Powder Ridge Rd, Eden.</w:t>
      </w:r>
      <w:r w:rsidR="00D44E6F">
        <w:rPr>
          <w:b/>
        </w:rPr>
        <w:t xml:space="preserve">  (Michael Moyal, Applicant)</w:t>
      </w:r>
    </w:p>
    <w:p w:rsidR="007E21EF" w:rsidRPr="00380DDF" w:rsidRDefault="00985A0B" w:rsidP="00CC044C">
      <w:pPr>
        <w:jc w:val="both"/>
        <w:rPr>
          <w:b/>
        </w:rPr>
      </w:pPr>
      <w:r>
        <w:rPr>
          <w:b/>
        </w:rPr>
        <w:t>1</w:t>
      </w:r>
      <w:r w:rsidR="007E21EF" w:rsidRPr="00380DDF">
        <w:rPr>
          <w:b/>
        </w:rPr>
        <w:t>.2.     Legislative Items</w:t>
      </w:r>
    </w:p>
    <w:p w:rsidR="007E21EF" w:rsidRPr="00380DDF" w:rsidRDefault="007E21EF" w:rsidP="00CC044C">
      <w:pPr>
        <w:ind w:left="540"/>
        <w:jc w:val="both"/>
        <w:rPr>
          <w:b/>
        </w:rPr>
      </w:pPr>
      <w:r w:rsidRPr="00380DDF">
        <w:rPr>
          <w:b/>
        </w:rPr>
        <w:t>a.  New Business</w:t>
      </w:r>
    </w:p>
    <w:p w:rsidR="00F01B81" w:rsidRPr="00380DDF" w:rsidRDefault="00F72565" w:rsidP="00CC044C">
      <w:pPr>
        <w:pStyle w:val="Info"/>
        <w:tabs>
          <w:tab w:val="clear" w:pos="2640"/>
          <w:tab w:val="left" w:pos="1320"/>
          <w:tab w:val="left" w:pos="2160"/>
        </w:tabs>
        <w:ind w:left="2160" w:hanging="2160"/>
        <w:jc w:val="both"/>
        <w:rPr>
          <w:b/>
        </w:rPr>
      </w:pPr>
      <w:r>
        <w:rPr>
          <w:b/>
        </w:rPr>
        <w:t xml:space="preserve">            </w:t>
      </w:r>
      <w:r w:rsidR="00380DDF" w:rsidRPr="00380DDF">
        <w:rPr>
          <w:b/>
        </w:rPr>
        <w:t>1</w:t>
      </w:r>
      <w:r w:rsidR="00F01B81" w:rsidRPr="00380DDF">
        <w:rPr>
          <w:b/>
        </w:rPr>
        <w:t xml:space="preserve">.  </w:t>
      </w:r>
      <w:r w:rsidR="00D44E6F">
        <w:rPr>
          <w:b/>
        </w:rPr>
        <w:t>ZDA 2018-05</w:t>
      </w:r>
      <w:r w:rsidR="006D1234">
        <w:rPr>
          <w:b/>
        </w:rPr>
        <w:t>:</w:t>
      </w:r>
      <w:r>
        <w:rPr>
          <w:b/>
        </w:rPr>
        <w:t xml:space="preserve">   </w:t>
      </w:r>
      <w:bookmarkStart w:id="0" w:name="_GoBack"/>
      <w:bookmarkEnd w:id="0"/>
      <w:r>
        <w:rPr>
          <w:b/>
        </w:rPr>
        <w:t>Consideration and action on a request for the First Amendment to the Zoning Development Agreement Ordinance #96-33 to reinstate the expired Zoning Development Agreement and allow for temporary park and ride lot, located in the</w:t>
      </w:r>
      <w:r w:rsidR="00757EB8">
        <w:rPr>
          <w:b/>
        </w:rPr>
        <w:t xml:space="preserve"> Commercial Valley (CV-2) Zone</w:t>
      </w:r>
      <w:r w:rsidR="00D44E6F">
        <w:rPr>
          <w:b/>
        </w:rPr>
        <w:t xml:space="preserve"> at approximately 2620 N Hwy 162.  </w:t>
      </w:r>
      <w:r w:rsidR="00757EB8">
        <w:rPr>
          <w:b/>
        </w:rPr>
        <w:t>(</w:t>
      </w:r>
      <w:r w:rsidR="00CC044C">
        <w:rPr>
          <w:b/>
        </w:rPr>
        <w:t xml:space="preserve">Terry Phillips Properties LLC, Applicant; </w:t>
      </w:r>
      <w:r w:rsidR="00757EB8">
        <w:rPr>
          <w:b/>
        </w:rPr>
        <w:t>Roger Terry, Agent)</w:t>
      </w:r>
    </w:p>
    <w:p w:rsidR="00380DDF" w:rsidRDefault="00380DDF" w:rsidP="00CD2351">
      <w:pPr>
        <w:ind w:left="2160" w:hanging="1620"/>
      </w:pPr>
    </w:p>
    <w:p w:rsidR="000178EC" w:rsidRDefault="00757EB8" w:rsidP="00954CA1">
      <w:pPr>
        <w:pStyle w:val="Info"/>
        <w:tabs>
          <w:tab w:val="left" w:pos="2520"/>
        </w:tabs>
        <w:ind w:left="540" w:hanging="540"/>
        <w:jc w:val="both"/>
        <w:rPr>
          <w:b/>
        </w:rPr>
      </w:pPr>
      <w:r>
        <w:rPr>
          <w:b/>
        </w:rPr>
        <w:t>2</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757EB8" w:rsidP="00355BFC">
      <w:pPr>
        <w:pStyle w:val="Info"/>
        <w:tabs>
          <w:tab w:val="left" w:pos="2520"/>
        </w:tabs>
        <w:ind w:left="540" w:hanging="540"/>
        <w:jc w:val="both"/>
        <w:rPr>
          <w:b/>
        </w:rPr>
      </w:pPr>
      <w:r>
        <w:rPr>
          <w:b/>
        </w:rPr>
        <w:t>3</w:t>
      </w:r>
      <w:r w:rsidR="003E1987">
        <w:rPr>
          <w:b/>
        </w:rPr>
        <w:t>.</w:t>
      </w:r>
      <w:r w:rsidR="00954CA1">
        <w:rPr>
          <w:b/>
        </w:rPr>
        <w:tab/>
      </w:r>
      <w:r w:rsidR="003E1987">
        <w:rPr>
          <w:b/>
        </w:rPr>
        <w:t>Remarks from Planning Commissioners</w:t>
      </w:r>
      <w:r w:rsidR="00C14F4C">
        <w:rPr>
          <w:b/>
        </w:rPr>
        <w:t>:</w:t>
      </w:r>
    </w:p>
    <w:p w:rsidR="00CD2351" w:rsidRDefault="00757EB8" w:rsidP="00954CA1">
      <w:pPr>
        <w:pStyle w:val="Info"/>
        <w:tabs>
          <w:tab w:val="clear" w:pos="2640"/>
          <w:tab w:val="left" w:pos="1320"/>
          <w:tab w:val="left" w:pos="2520"/>
          <w:tab w:val="left" w:pos="9630"/>
        </w:tabs>
        <w:ind w:left="540" w:hanging="540"/>
        <w:jc w:val="both"/>
        <w:rPr>
          <w:b/>
        </w:rPr>
      </w:pPr>
      <w:r>
        <w:rPr>
          <w:b/>
        </w:rPr>
        <w:t>4</w:t>
      </w:r>
      <w:r w:rsidR="00954CA1">
        <w:rPr>
          <w:b/>
        </w:rPr>
        <w:t>.</w:t>
      </w:r>
      <w:r w:rsidR="00954CA1">
        <w:rPr>
          <w:b/>
        </w:rPr>
        <w:tab/>
      </w:r>
      <w:r w:rsidR="003E1987">
        <w:rPr>
          <w:b/>
        </w:rPr>
        <w:t>Planning Director Report</w:t>
      </w:r>
      <w:r w:rsidR="00C14F4C">
        <w:rPr>
          <w:b/>
        </w:rPr>
        <w:t>:</w:t>
      </w:r>
    </w:p>
    <w:p w:rsidR="00F717F0" w:rsidRDefault="00757EB8" w:rsidP="00F01B81">
      <w:pPr>
        <w:pStyle w:val="Info"/>
        <w:tabs>
          <w:tab w:val="clear" w:pos="2640"/>
          <w:tab w:val="left" w:pos="0"/>
          <w:tab w:val="left" w:pos="360"/>
          <w:tab w:val="left" w:pos="1320"/>
          <w:tab w:val="left" w:pos="2520"/>
        </w:tabs>
        <w:ind w:left="0"/>
        <w:jc w:val="both"/>
        <w:rPr>
          <w:b/>
        </w:rPr>
      </w:pPr>
      <w:r>
        <w:rPr>
          <w:b/>
        </w:rPr>
        <w:t>5</w:t>
      </w:r>
      <w:r w:rsidR="003E1987">
        <w:rPr>
          <w:b/>
        </w:rPr>
        <w:t>.</w:t>
      </w:r>
      <w:r w:rsidR="003E1987">
        <w:rPr>
          <w:b/>
        </w:rPr>
        <w:tab/>
      </w:r>
      <w:r w:rsidR="00954CA1">
        <w:rPr>
          <w:b/>
        </w:rPr>
        <w:t xml:space="preserve"> </w:t>
      </w:r>
      <w:r w:rsidR="003E1987">
        <w:rPr>
          <w:b/>
        </w:rPr>
        <w:t xml:space="preserve">   Remarks from Legal Counsel</w:t>
      </w:r>
      <w:r w:rsidR="00C14F4C">
        <w:rPr>
          <w:b/>
        </w:rPr>
        <w:t>:</w:t>
      </w:r>
    </w:p>
    <w:p w:rsidR="001B7807" w:rsidRDefault="00757EB8" w:rsidP="00CD2351">
      <w:pPr>
        <w:pStyle w:val="Info"/>
        <w:tabs>
          <w:tab w:val="clear" w:pos="2640"/>
          <w:tab w:val="left" w:pos="0"/>
          <w:tab w:val="left" w:pos="360"/>
          <w:tab w:val="left" w:pos="1320"/>
          <w:tab w:val="left" w:pos="2520"/>
        </w:tabs>
        <w:ind w:left="0"/>
        <w:jc w:val="both"/>
        <w:rPr>
          <w:rFonts w:cstheme="minorHAnsi"/>
          <w:b/>
          <w:bCs/>
        </w:rPr>
      </w:pPr>
      <w:r>
        <w:rPr>
          <w:b/>
        </w:rPr>
        <w:t>6</w:t>
      </w:r>
      <w:r w:rsidR="00CD2351">
        <w:rPr>
          <w:b/>
        </w:rPr>
        <w:t>.</w:t>
      </w:r>
      <w:r w:rsidR="00CD2351">
        <w:rPr>
          <w:b/>
        </w:rPr>
        <w:tab/>
        <w:t xml:space="preserve">    Adjournment:</w:t>
      </w:r>
      <w:r w:rsidR="001B7807">
        <w:rPr>
          <w:b/>
          <w:bCs/>
          <w:noProof/>
        </w:rPr>
        <mc:AlternateContent>
          <mc:Choice Requires="wps">
            <w:drawing>
              <wp:anchor distT="0" distB="0" distL="114300" distR="114300" simplePos="0" relativeHeight="251669504" behindDoc="0" locked="0" layoutInCell="0" allowOverlap="1" wp14:anchorId="7A34C9B5" wp14:editId="562B1200">
                <wp:simplePos x="0" y="0"/>
                <wp:positionH relativeFrom="page">
                  <wp:posOffset>628650</wp:posOffset>
                </wp:positionH>
                <wp:positionV relativeFrom="margin">
                  <wp:posOffset>7562215</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34C9B5" id="_x0000_t202" coordsize="21600,21600" o:spt="202" path="m,l,21600r21600,l21600,xe">
                <v:stroke joinstyle="miter"/>
                <v:path gradientshapeok="t" o:connecttype="rect"/>
              </v:shapetype>
              <v:shape id="Text Box 12" o:spid="_x0000_s1026" type="#_x0000_t202" style="position:absolute;left:0;text-align:left;margin-left:49.5pt;margin-top:595.4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D44E6F" w:rsidRDefault="00D44E6F" w:rsidP="00F72565">
      <w:pPr>
        <w:pStyle w:val="Info"/>
        <w:tabs>
          <w:tab w:val="clear" w:pos="2640"/>
          <w:tab w:val="left" w:pos="0"/>
          <w:tab w:val="left" w:pos="360"/>
          <w:tab w:val="left" w:pos="13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pPr>
    </w:p>
    <w:p w:rsidR="006907B4" w:rsidRDefault="006907B4" w:rsidP="00CD2351">
      <w:pPr>
        <w:pStyle w:val="Info"/>
        <w:tabs>
          <w:tab w:val="clear" w:pos="2640"/>
          <w:tab w:val="left" w:pos="0"/>
          <w:tab w:val="left" w:pos="360"/>
          <w:tab w:val="left" w:pos="1320"/>
          <w:tab w:val="left" w:pos="2520"/>
        </w:tabs>
        <w:ind w:left="0"/>
        <w:jc w:val="center"/>
      </w:pPr>
    </w:p>
    <w:p w:rsidR="006907B4" w:rsidRDefault="006907B4"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5E1" w:rsidRDefault="008D35E1" w:rsidP="00BD1C68">
      <w:r>
        <w:separator/>
      </w:r>
    </w:p>
  </w:endnote>
  <w:endnote w:type="continuationSeparator" w:id="0">
    <w:p w:rsidR="008D35E1" w:rsidRDefault="008D35E1"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5E1" w:rsidRDefault="008D35E1" w:rsidP="00BD1C68">
      <w:r>
        <w:separator/>
      </w:r>
    </w:p>
  </w:footnote>
  <w:footnote w:type="continuationSeparator" w:id="0">
    <w:p w:rsidR="008D35E1" w:rsidRDefault="008D35E1"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1B85"/>
    <w:rsid w:val="001A56B5"/>
    <w:rsid w:val="001A7D6E"/>
    <w:rsid w:val="001B0D93"/>
    <w:rsid w:val="001B28C1"/>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001"/>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5F70E7"/>
    <w:rsid w:val="0060131A"/>
    <w:rsid w:val="006044EF"/>
    <w:rsid w:val="006048E1"/>
    <w:rsid w:val="0060587D"/>
    <w:rsid w:val="006103C7"/>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07B4"/>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57EB8"/>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35E1"/>
    <w:rsid w:val="008D487D"/>
    <w:rsid w:val="008D61E2"/>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5A0B"/>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5A7C"/>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044C"/>
    <w:rsid w:val="00CC45FC"/>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E6F"/>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2565"/>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BFC2C"/>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 w:type="character" w:styleId="Strong">
    <w:name w:val="Strong"/>
    <w:basedOn w:val="DefaultParagraphFont"/>
    <w:uiPriority w:val="22"/>
    <w:qFormat/>
    <w:rsid w:val="00985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641035418">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2060085503">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A2701-BD41-4065-A318-B67CEF45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2018-05-17T18:35:00Z</cp:lastPrinted>
  <dcterms:created xsi:type="dcterms:W3CDTF">2018-08-22T21:05:00Z</dcterms:created>
  <dcterms:modified xsi:type="dcterms:W3CDTF">2018-08-22T21:05:00Z</dcterms:modified>
</cp:coreProperties>
</file>